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ytuł"/>
        <w:bidi w:val="0"/>
      </w:pPr>
      <w:r>
        <w:rPr>
          <w:rtl w:val="0"/>
        </w:rPr>
        <w:t xml:space="preserve">Stacje do </w:t>
      </w:r>
      <w:r>
        <w:rPr>
          <w:rtl w:val="0"/>
        </w:rPr>
        <w:t>ł</w:t>
      </w:r>
      <w:r>
        <w:rPr>
          <w:rtl w:val="0"/>
        </w:rPr>
        <w:t>adowania pojazd</w:t>
      </w:r>
      <w:r>
        <w:rPr>
          <w:rtl w:val="0"/>
        </w:rPr>
        <w:t>ó</w:t>
      </w:r>
      <w:r>
        <w:rPr>
          <w:rtl w:val="0"/>
        </w:rPr>
        <w:t>w elektrycznych</w:t>
      </w:r>
    </w:p>
    <w:p>
      <w:pPr>
        <w:pStyle w:val="Treść"/>
        <w:bidi w:val="0"/>
      </w:pP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>Lokalizacja: Miasto Krak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</w:t>
      </w: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>Opis projektu:</w:t>
      </w: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ab/>
        <w:t>Na terenie miasta Krak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zostan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 xml:space="preserve">rozmieszczone stacje do 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adowania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elektrycznych, g</w:t>
      </w:r>
      <w:r>
        <w:rPr>
          <w:sz w:val="30"/>
          <w:szCs w:val="30"/>
          <w:rtl w:val="0"/>
        </w:rPr>
        <w:t>łó</w:t>
      </w:r>
      <w:r>
        <w:rPr>
          <w:sz w:val="30"/>
          <w:szCs w:val="30"/>
          <w:rtl w:val="0"/>
        </w:rPr>
        <w:t>wnie samochod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elektrycznych, ale te</w:t>
      </w:r>
      <w:r>
        <w:rPr>
          <w:sz w:val="30"/>
          <w:szCs w:val="30"/>
          <w:rtl w:val="0"/>
        </w:rPr>
        <w:t xml:space="preserve">ż </w:t>
      </w:r>
      <w:r>
        <w:rPr>
          <w:sz w:val="30"/>
          <w:szCs w:val="30"/>
          <w:rtl w:val="0"/>
        </w:rPr>
        <w:t>samochod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z nap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dem spalinowym jak i elektrycznym. Stacje te b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rozmieszczone na terenie ca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ego miasta aby w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>ciciele oraz przyszli nabywcy mieli mo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liwo</w:t>
      </w:r>
      <w:r>
        <w:rPr>
          <w:sz w:val="30"/>
          <w:szCs w:val="30"/>
          <w:rtl w:val="0"/>
        </w:rPr>
        <w:t>ść ł</w:t>
      </w:r>
      <w:r>
        <w:rPr>
          <w:sz w:val="30"/>
          <w:szCs w:val="30"/>
          <w:rtl w:val="0"/>
        </w:rPr>
        <w:t>adowania swoich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wsz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 xml:space="preserve">dzie. </w:t>
      </w: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>Uzasadnienie:</w:t>
      </w: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ab/>
        <w:t>Aktualnie widzimy wzrost liczby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z nap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dem elektrycznym. Pojazdy te w czasie u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ytkowania s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 xml:space="preserve">bardziej przyjazne dla 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>rodowiska, ni</w:t>
      </w:r>
      <w:r>
        <w:rPr>
          <w:sz w:val="30"/>
          <w:szCs w:val="30"/>
          <w:rtl w:val="0"/>
        </w:rPr>
        <w:t xml:space="preserve">ż </w:t>
      </w:r>
      <w:r>
        <w:rPr>
          <w:sz w:val="30"/>
          <w:szCs w:val="30"/>
          <w:rtl w:val="0"/>
        </w:rPr>
        <w:t>spalinowe odpowiedniki. Zainstalowanie wi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kszej ilo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 xml:space="preserve">ci stacji do 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adowania tych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zach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ci ludzi do ich kupowania. Aktualnie na terenie miasta Krakowa znajduj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si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trzy takie stacje. Zwi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kszenie ilo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>ci tych stacji zach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ci ludzi do kupowania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elektrycznych. Pojazdy te s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wnie</w:t>
      </w:r>
      <w:r>
        <w:rPr>
          <w:sz w:val="30"/>
          <w:szCs w:val="30"/>
          <w:rtl w:val="0"/>
        </w:rPr>
        <w:t xml:space="preserve">ż </w:t>
      </w:r>
      <w:r>
        <w:rPr>
          <w:sz w:val="30"/>
          <w:szCs w:val="30"/>
          <w:rtl w:val="0"/>
        </w:rPr>
        <w:t>ta</w:t>
      </w:r>
      <w:r>
        <w:rPr>
          <w:sz w:val="30"/>
          <w:szCs w:val="30"/>
          <w:rtl w:val="0"/>
        </w:rPr>
        <w:t>ń</w:t>
      </w:r>
      <w:r>
        <w:rPr>
          <w:sz w:val="30"/>
          <w:szCs w:val="30"/>
          <w:rtl w:val="0"/>
        </w:rPr>
        <w:t>sze w utrzymaniu, wi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c z up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ywem czasu ludzie zaczn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si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do nich przesiada</w:t>
      </w:r>
      <w:r>
        <w:rPr>
          <w:sz w:val="30"/>
          <w:szCs w:val="30"/>
          <w:rtl w:val="0"/>
        </w:rPr>
        <w:t>ć</w:t>
      </w:r>
      <w:r>
        <w:rPr>
          <w:sz w:val="30"/>
          <w:szCs w:val="30"/>
          <w:rtl w:val="0"/>
        </w:rPr>
        <w:t>. Niestety potencjalni kupcy tych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nie decyduj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si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na ich zakup z racji ma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ej ilo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>ci miejsc w kt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rych mogli by je na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adowa</w:t>
      </w:r>
      <w:r>
        <w:rPr>
          <w:sz w:val="30"/>
          <w:szCs w:val="30"/>
          <w:rtl w:val="0"/>
        </w:rPr>
        <w:t>ć</w:t>
      </w:r>
      <w:r>
        <w:rPr>
          <w:sz w:val="30"/>
          <w:szCs w:val="30"/>
          <w:rtl w:val="0"/>
        </w:rPr>
        <w:t>. Wybudowanie takich stanowisk przyczyni si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do wzrostu popularno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>ci tych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w, kt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re nie emituj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spalin ani ha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 xml:space="preserve">asu. </w:t>
      </w: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ab/>
        <w:t>Dzisiaj samochody w Krakowie maj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przeci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 xml:space="preserve">tnie 13 lat, co oznacza, 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e du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a liczba pojazd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nie spe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nia normy Euro 4. Aktualnie autobusy MPK spe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niaj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normy Euro 6. Czystsze powietrze oraz ni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sza emisja ha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asu jest w interesie ka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dego z nas. Wielu mieszka</w:t>
      </w:r>
      <w:r>
        <w:rPr>
          <w:sz w:val="30"/>
          <w:szCs w:val="30"/>
          <w:rtl w:val="0"/>
        </w:rPr>
        <w:t>ń</w:t>
      </w:r>
      <w:r>
        <w:rPr>
          <w:sz w:val="30"/>
          <w:szCs w:val="30"/>
          <w:rtl w:val="0"/>
        </w:rPr>
        <w:t>c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naszego miasta doje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a w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 xml:space="preserve">asnym </w:t>
      </w:r>
      <w:r>
        <w:rPr>
          <w:sz w:val="30"/>
          <w:szCs w:val="30"/>
          <w:rtl w:val="0"/>
        </w:rPr>
        <w:t>ś</w:t>
      </w:r>
      <w:r>
        <w:rPr>
          <w:sz w:val="30"/>
          <w:szCs w:val="30"/>
          <w:rtl w:val="0"/>
        </w:rPr>
        <w:t>rodkiem transportu do pracy, dlatego rozbudowanie tych stacji sk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oni koncerny samochodowe do promowania samochod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w elektrycznych, w skutek czego ludzie przesi</w:t>
      </w:r>
      <w:r>
        <w:rPr>
          <w:sz w:val="30"/>
          <w:szCs w:val="30"/>
          <w:rtl w:val="0"/>
        </w:rPr>
        <w:t>ą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si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na bardziej ekologiczn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i cichsz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w u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ytkowaniu alternatyw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. Zmian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na lepsze odczuje ka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dy z nas.</w:t>
      </w: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>Realizacja:</w:t>
      </w:r>
    </w:p>
    <w:p>
      <w:pPr>
        <w:pStyle w:val="Treść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  <w:rtl w:val="0"/>
        </w:rPr>
        <w:t>Og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oszenie przetargu: IV kwarta</w:t>
      </w:r>
      <w:r>
        <w:rPr>
          <w:sz w:val="30"/>
          <w:szCs w:val="30"/>
          <w:rtl w:val="0"/>
        </w:rPr>
        <w:t xml:space="preserve">ł </w:t>
      </w:r>
      <w:r>
        <w:rPr>
          <w:sz w:val="30"/>
          <w:szCs w:val="30"/>
          <w:rtl w:val="0"/>
        </w:rPr>
        <w:t>2018</w:t>
      </w:r>
    </w:p>
    <w:p>
      <w:pPr>
        <w:pStyle w:val="Treść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  <w:rtl w:val="0"/>
        </w:rPr>
        <w:t>Og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oszenie wykonawcy: I kwarta</w:t>
      </w:r>
      <w:r>
        <w:rPr>
          <w:sz w:val="30"/>
          <w:szCs w:val="30"/>
          <w:rtl w:val="0"/>
        </w:rPr>
        <w:t xml:space="preserve">ł </w:t>
      </w:r>
      <w:r>
        <w:rPr>
          <w:sz w:val="30"/>
          <w:szCs w:val="30"/>
          <w:rtl w:val="0"/>
        </w:rPr>
        <w:t>2019</w:t>
      </w:r>
    </w:p>
    <w:p>
      <w:pPr>
        <w:pStyle w:val="Treść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  <w:rtl w:val="0"/>
        </w:rPr>
        <w:t>Realizacja projektu: II/III kwarta</w:t>
      </w:r>
      <w:r>
        <w:rPr>
          <w:sz w:val="30"/>
          <w:szCs w:val="30"/>
          <w:rtl w:val="0"/>
        </w:rPr>
        <w:t xml:space="preserve">ł </w:t>
      </w:r>
      <w:r>
        <w:rPr>
          <w:sz w:val="30"/>
          <w:szCs w:val="30"/>
          <w:rtl w:val="0"/>
        </w:rPr>
        <w:t>2019</w:t>
      </w:r>
    </w:p>
    <w:p>
      <w:pPr>
        <w:pStyle w:val="Treść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  <w:rtl w:val="0"/>
        </w:rPr>
        <w:t>Oddanie do u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ytku stacji: III/IV kwarta</w:t>
      </w:r>
      <w:r>
        <w:rPr>
          <w:sz w:val="30"/>
          <w:szCs w:val="30"/>
          <w:rtl w:val="0"/>
        </w:rPr>
        <w:t xml:space="preserve">ł </w:t>
      </w:r>
      <w:r>
        <w:rPr>
          <w:sz w:val="30"/>
          <w:szCs w:val="30"/>
          <w:rtl w:val="0"/>
        </w:rPr>
        <w:t>2019</w:t>
      </w:r>
    </w:p>
    <w:p>
      <w:pPr>
        <w:pStyle w:val="Treść"/>
        <w:rPr>
          <w:sz w:val="30"/>
          <w:szCs w:val="30"/>
        </w:rPr>
      </w:pP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>Lokalizacja stacji:</w:t>
      </w: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ab/>
        <w:t>Na ka</w:t>
      </w:r>
      <w:r>
        <w:rPr>
          <w:sz w:val="30"/>
          <w:szCs w:val="30"/>
          <w:rtl w:val="0"/>
        </w:rPr>
        <w:t>ż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dzielnic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b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dzie przypada</w:t>
      </w:r>
      <w:r>
        <w:rPr>
          <w:sz w:val="30"/>
          <w:szCs w:val="30"/>
          <w:rtl w:val="0"/>
        </w:rPr>
        <w:t xml:space="preserve">ć </w:t>
      </w:r>
      <w:r>
        <w:rPr>
          <w:sz w:val="30"/>
          <w:szCs w:val="30"/>
          <w:rtl w:val="0"/>
        </w:rPr>
        <w:t xml:space="preserve">minimum jedna stacja 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adowania. Cztery pozosta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e stacje zostan</w:t>
      </w:r>
      <w:r>
        <w:rPr>
          <w:sz w:val="30"/>
          <w:szCs w:val="30"/>
          <w:rtl w:val="0"/>
        </w:rPr>
        <w:t xml:space="preserve">ą </w:t>
      </w:r>
      <w:r>
        <w:rPr>
          <w:sz w:val="30"/>
          <w:szCs w:val="30"/>
          <w:rtl w:val="0"/>
        </w:rPr>
        <w:t>rozlokowane w centrum miasta lub w dzielnicach w kt</w:t>
      </w:r>
      <w:r>
        <w:rPr>
          <w:sz w:val="30"/>
          <w:szCs w:val="30"/>
          <w:rtl w:val="0"/>
        </w:rPr>
        <w:t>ó</w:t>
      </w:r>
      <w:r>
        <w:rPr>
          <w:sz w:val="30"/>
          <w:szCs w:val="30"/>
          <w:rtl w:val="0"/>
        </w:rPr>
        <w:t>rych popyt b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dzie najwi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kszy.</w:t>
      </w:r>
    </w:p>
    <w:p>
      <w:pPr>
        <w:pStyle w:val="Treść"/>
        <w:rPr>
          <w:sz w:val="30"/>
          <w:szCs w:val="30"/>
        </w:rPr>
      </w:pPr>
      <w:r>
        <w:rPr>
          <w:sz w:val="30"/>
          <w:szCs w:val="30"/>
        </w:rPr>
        <w:tab/>
      </w:r>
    </w:p>
    <w:p>
      <w:pPr>
        <w:pStyle w:val="Treść"/>
        <w:rPr>
          <w:sz w:val="30"/>
          <w:szCs w:val="30"/>
        </w:rPr>
      </w:pPr>
      <w:r>
        <w:rPr>
          <w:sz w:val="30"/>
          <w:szCs w:val="30"/>
          <w:rtl w:val="0"/>
        </w:rPr>
        <w:t>Kosztorys: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6"/>
        <w:gridCol w:w="1927"/>
        <w:gridCol w:w="1926"/>
        <w:gridCol w:w="1927"/>
        <w:gridCol w:w="1926"/>
      </w:tblGrid>
      <w:tr>
        <w:tblPrEx>
          <w:shd w:val="clear" w:color="auto" w:fill="bdc0bf"/>
        </w:tblPrEx>
        <w:trPr>
          <w:trHeight w:val="482" w:hRule="atLeast"/>
          <w:tblHeader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Koszt jednej stacji (PLN)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ść 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Koszt ca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ł</w:t>
            </w:r>
            <w:r>
              <w:rPr>
                <w:rFonts w:ascii="Helvetica Neue" w:cs="Arial Unicode MS" w:hAnsi="Helvetica Neue" w:eastAsia="Arial Unicode MS"/>
                <w:rtl w:val="0"/>
              </w:rPr>
              <w:t>kowity (PLN)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Rezerwa finansowa (PLN)</w:t>
            </w:r>
          </w:p>
        </w:tc>
      </w:tr>
      <w:tr>
        <w:tblPrEx>
          <w:shd w:val="clear" w:color="auto" w:fill="auto"/>
        </w:tblPrEx>
        <w:trPr>
          <w:trHeight w:val="722" w:hRule="atLeast"/>
        </w:trPr>
        <w:tc>
          <w:tcPr>
            <w:tcW w:type="dxa" w:w="19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Stacja do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ł</w:t>
            </w:r>
            <w:r>
              <w:rPr>
                <w:rFonts w:ascii="Helvetica Neue" w:cs="Arial Unicode MS" w:hAnsi="Helvetica Neue" w:eastAsia="Arial Unicode MS"/>
                <w:rtl w:val="0"/>
              </w:rPr>
              <w:t>adowania pojazd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w 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000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22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200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000</w:t>
            </w:r>
          </w:p>
        </w:tc>
        <w:tc>
          <w:tcPr>
            <w:tcW w:type="dxa" w:w="19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200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 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030</w:t>
            </w:r>
          </w:p>
        </w:tc>
      </w:tr>
    </w:tbl>
    <w:p>
      <w:pPr>
        <w:pStyle w:val="Treść"/>
        <w:bidi w:val="0"/>
      </w:pPr>
      <w:r>
        <w:rPr>
          <w:sz w:val="30"/>
          <w:szCs w:val="30"/>
        </w:rPr>
        <w:tab/>
      </w:r>
    </w:p>
    <w:p>
      <w:pPr>
        <w:pStyle w:val="Treść"/>
        <w:bidi w:val="0"/>
      </w:pPr>
    </w:p>
    <w:p>
      <w:pPr>
        <w:pStyle w:val="Przypis dolny"/>
        <w:bidi w:val="0"/>
      </w:pPr>
      <w:r>
        <w:rPr>
          <w:rtl w:val="0"/>
        </w:rPr>
        <w:t>Wszystkie koszty s</w:t>
      </w:r>
      <w:r>
        <w:rPr>
          <w:rtl w:val="0"/>
        </w:rPr>
        <w:t xml:space="preserve">ą </w:t>
      </w:r>
      <w:r>
        <w:rPr>
          <w:rtl w:val="0"/>
        </w:rPr>
        <w:t xml:space="preserve">szacunkowe.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0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0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ytuł">
    <w:name w:val="Tytuł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Punktor">
    <w:name w:val="Punktor"/>
    <w:pPr>
      <w:numPr>
        <w:numId w:val="1"/>
      </w:numPr>
    </w:pPr>
  </w:style>
  <w:style w:type="paragraph" w:styleId="Styl tabeli 1">
    <w:name w:val="Styl tabeli 1"/>
    <w:next w:val="Styl tabeli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Przypis dolny">
    <w:name w:val="Przypis dolny"/>
    <w:next w:val="Przypis do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